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附件1</w:t>
      </w:r>
    </w:p>
    <w:p w:rsidR="009D6D46" w:rsidRDefault="009D6D46" w:rsidP="009D6D46">
      <w:pPr>
        <w:pStyle w:val="a3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住宅项目物业服务综合监管风险评估制度</w:t>
      </w: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ind w:firstLineChars="200" w:firstLine="643"/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为进一步加大全市住宅项目物业服务监管力度，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准确识别住宅项目物业服务潜在风险及其影响程度，综合判定住宅项目物业服务风险等级，特制定本制度。</w:t>
      </w:r>
    </w:p>
    <w:p w:rsidR="009D6D46" w:rsidRDefault="009D6D46" w:rsidP="009D6D46">
      <w:pPr>
        <w:autoSpaceDE w:val="0"/>
        <w:autoSpaceDN w:val="0"/>
        <w:adjustRightInd w:val="0"/>
        <w:spacing w:line="560" w:lineRule="exact"/>
        <w:ind w:firstLineChars="200" w:firstLine="643"/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本制度所指住宅项目物业服务风险主要包括投入使用时间、规模、物业服务费收费率、业主满意度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等方面。</w:t>
      </w:r>
    </w:p>
    <w:p w:rsidR="009D6D46" w:rsidRDefault="009D6D46" w:rsidP="009D6D46">
      <w:pPr>
        <w:autoSpaceDE w:val="0"/>
        <w:autoSpaceDN w:val="0"/>
        <w:adjustRightInd w:val="0"/>
        <w:spacing w:line="560" w:lineRule="exact"/>
        <w:ind w:firstLineChars="200" w:firstLine="643"/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住宅项目物业服务风险影响因素按照影响范围、影响程度等，予以分配不同的权重系数，依据各项风险因素评估结果，综合确定风险等级。</w:t>
      </w:r>
    </w:p>
    <w:p w:rsidR="009D6D46" w:rsidRDefault="009D6D46" w:rsidP="009D6D4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住宅项目物业服务风险因素评价标准。</w:t>
      </w:r>
    </w:p>
    <w:p w:rsidR="009D6D46" w:rsidRDefault="009D6D46" w:rsidP="009D6D4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投入使用时间（10分*权重系数）</w:t>
      </w:r>
    </w:p>
    <w:tbl>
      <w:tblPr>
        <w:tblStyle w:val="a4"/>
        <w:tblW w:w="9000" w:type="dxa"/>
        <w:tblLayout w:type="fixed"/>
        <w:tblLook w:val="04A0" w:firstRow="1" w:lastRow="0" w:firstColumn="1" w:lastColumn="0" w:noHBand="0" w:noVBand="1"/>
      </w:tblPr>
      <w:tblGrid>
        <w:gridCol w:w="1000"/>
        <w:gridCol w:w="2135"/>
        <w:gridCol w:w="1980"/>
        <w:gridCol w:w="1980"/>
        <w:gridCol w:w="1905"/>
      </w:tblGrid>
      <w:tr w:rsidR="009D6D46" w:rsidTr="00AC45F9">
        <w:trPr>
          <w:trHeight w:val="816"/>
        </w:trPr>
        <w:tc>
          <w:tcPr>
            <w:tcW w:w="1000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时间</w:t>
            </w:r>
          </w:p>
        </w:tc>
        <w:tc>
          <w:tcPr>
            <w:tcW w:w="213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kern w:val="2"/>
                <w:sz w:val="21"/>
                <w:szCs w:val="24"/>
              </w:rPr>
              <w:t>1990年之前（含）</w:t>
            </w:r>
          </w:p>
        </w:tc>
        <w:tc>
          <w:tcPr>
            <w:tcW w:w="1980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kern w:val="2"/>
                <w:sz w:val="21"/>
                <w:szCs w:val="24"/>
              </w:rPr>
              <w:t>1990年（不含）—2000年（含）</w:t>
            </w:r>
          </w:p>
        </w:tc>
        <w:tc>
          <w:tcPr>
            <w:tcW w:w="1980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kern w:val="2"/>
                <w:sz w:val="21"/>
                <w:szCs w:val="24"/>
              </w:rPr>
              <w:t>2000年（不含）—2010年（不含）</w:t>
            </w:r>
          </w:p>
        </w:tc>
        <w:tc>
          <w:tcPr>
            <w:tcW w:w="190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 w:hint="eastAsia"/>
                <w:kern w:val="2"/>
                <w:sz w:val="21"/>
                <w:szCs w:val="24"/>
              </w:rPr>
              <w:t>2010年之后（含）</w:t>
            </w:r>
          </w:p>
        </w:tc>
      </w:tr>
      <w:tr w:rsidR="009D6D46" w:rsidTr="00AC45F9">
        <w:trPr>
          <w:trHeight w:val="911"/>
        </w:trPr>
        <w:tc>
          <w:tcPr>
            <w:tcW w:w="1000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</w:pPr>
            <w:r>
              <w:rPr>
                <w:rFonts w:hint="eastAsia"/>
              </w:rPr>
              <w:t>权重</w:t>
            </w:r>
          </w:p>
          <w:p w:rsidR="009D6D46" w:rsidRDefault="009D6D46" w:rsidP="00AC45F9">
            <w:pPr>
              <w:pStyle w:val="a3"/>
              <w:spacing w:line="560" w:lineRule="exact"/>
              <w:jc w:val="center"/>
            </w:pPr>
            <w:r>
              <w:rPr>
                <w:rFonts w:hint="eastAsia"/>
              </w:rPr>
              <w:t>系数</w:t>
            </w:r>
          </w:p>
        </w:tc>
        <w:tc>
          <w:tcPr>
            <w:tcW w:w="213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1.5</w:t>
            </w:r>
          </w:p>
        </w:tc>
        <w:tc>
          <w:tcPr>
            <w:tcW w:w="1980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1.2</w:t>
            </w:r>
          </w:p>
        </w:tc>
        <w:tc>
          <w:tcPr>
            <w:tcW w:w="1980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1.0</w:t>
            </w:r>
          </w:p>
        </w:tc>
        <w:tc>
          <w:tcPr>
            <w:tcW w:w="190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0.8</w:t>
            </w:r>
          </w:p>
        </w:tc>
      </w:tr>
    </w:tbl>
    <w:p w:rsidR="009D6D46" w:rsidRDefault="009D6D46" w:rsidP="009D6D4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规模（10分*权重系数）</w:t>
      </w:r>
    </w:p>
    <w:tbl>
      <w:tblPr>
        <w:tblStyle w:val="a4"/>
        <w:tblW w:w="9004" w:type="dxa"/>
        <w:tblLayout w:type="fixed"/>
        <w:tblLook w:val="04A0" w:firstRow="1" w:lastRow="0" w:firstColumn="1" w:lastColumn="0" w:noHBand="0" w:noVBand="1"/>
      </w:tblPr>
      <w:tblGrid>
        <w:gridCol w:w="1008"/>
        <w:gridCol w:w="2665"/>
        <w:gridCol w:w="2666"/>
        <w:gridCol w:w="2665"/>
      </w:tblGrid>
      <w:tr w:rsidR="009D6D46" w:rsidTr="00AC45F9">
        <w:trPr>
          <w:trHeight w:val="884"/>
        </w:trPr>
        <w:tc>
          <w:tcPr>
            <w:tcW w:w="1009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规模</w:t>
            </w:r>
          </w:p>
        </w:tc>
        <w:tc>
          <w:tcPr>
            <w:tcW w:w="266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500户以下（含）</w:t>
            </w:r>
          </w:p>
        </w:tc>
        <w:tc>
          <w:tcPr>
            <w:tcW w:w="266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500户（不含）—2000户（不含）</w:t>
            </w:r>
          </w:p>
        </w:tc>
        <w:tc>
          <w:tcPr>
            <w:tcW w:w="266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2000户以上（含）</w:t>
            </w:r>
          </w:p>
        </w:tc>
      </w:tr>
      <w:tr w:rsidR="009D6D46" w:rsidTr="00AC45F9">
        <w:trPr>
          <w:trHeight w:val="1248"/>
        </w:trPr>
        <w:tc>
          <w:tcPr>
            <w:tcW w:w="1009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权重</w:t>
            </w:r>
          </w:p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系数</w:t>
            </w:r>
          </w:p>
        </w:tc>
        <w:tc>
          <w:tcPr>
            <w:tcW w:w="2664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1.0</w:t>
            </w:r>
          </w:p>
        </w:tc>
        <w:tc>
          <w:tcPr>
            <w:tcW w:w="2666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1.2</w:t>
            </w:r>
          </w:p>
        </w:tc>
        <w:tc>
          <w:tcPr>
            <w:tcW w:w="266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1.5</w:t>
            </w:r>
          </w:p>
        </w:tc>
      </w:tr>
    </w:tbl>
    <w:p w:rsidR="009D6D46" w:rsidRDefault="009D6D46" w:rsidP="009D6D4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物业服务费收费率（40分*权重系数）</w:t>
      </w:r>
    </w:p>
    <w:tbl>
      <w:tblPr>
        <w:tblStyle w:val="a4"/>
        <w:tblW w:w="9024" w:type="dxa"/>
        <w:tblLayout w:type="fixed"/>
        <w:tblLook w:val="04A0" w:firstRow="1" w:lastRow="0" w:firstColumn="1" w:lastColumn="0" w:noHBand="0" w:noVBand="1"/>
      </w:tblPr>
      <w:tblGrid>
        <w:gridCol w:w="1494"/>
        <w:gridCol w:w="2505"/>
        <w:gridCol w:w="2430"/>
        <w:gridCol w:w="2595"/>
      </w:tblGrid>
      <w:tr w:rsidR="009D6D46" w:rsidTr="00AC45F9">
        <w:trPr>
          <w:trHeight w:val="757"/>
        </w:trPr>
        <w:tc>
          <w:tcPr>
            <w:tcW w:w="1494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lastRenderedPageBreak/>
              <w:t>收费率</w:t>
            </w:r>
          </w:p>
        </w:tc>
        <w:tc>
          <w:tcPr>
            <w:tcW w:w="250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60%以下（含）</w:t>
            </w:r>
          </w:p>
        </w:tc>
        <w:tc>
          <w:tcPr>
            <w:tcW w:w="2430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60%（不含）—90%（不含）</w:t>
            </w:r>
          </w:p>
        </w:tc>
        <w:tc>
          <w:tcPr>
            <w:tcW w:w="259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90%以上（含）</w:t>
            </w:r>
          </w:p>
        </w:tc>
      </w:tr>
      <w:tr w:rsidR="009D6D46" w:rsidTr="00AC45F9">
        <w:trPr>
          <w:trHeight w:val="616"/>
        </w:trPr>
        <w:tc>
          <w:tcPr>
            <w:tcW w:w="1494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权重系数</w:t>
            </w:r>
          </w:p>
        </w:tc>
        <w:tc>
          <w:tcPr>
            <w:tcW w:w="250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1.5</w:t>
            </w:r>
          </w:p>
        </w:tc>
        <w:tc>
          <w:tcPr>
            <w:tcW w:w="2430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1.2</w:t>
            </w:r>
          </w:p>
        </w:tc>
        <w:tc>
          <w:tcPr>
            <w:tcW w:w="259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0.8</w:t>
            </w:r>
          </w:p>
        </w:tc>
      </w:tr>
    </w:tbl>
    <w:p w:rsidR="009D6D46" w:rsidRDefault="009D6D46" w:rsidP="009D6D4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业主满意度（40分</w:t>
      </w:r>
      <w:r>
        <w:rPr>
          <w:rFonts w:ascii="仿宋_GB2312" w:eastAsia="仿宋_GB2312"/>
          <w:bCs/>
          <w:color w:val="000000" w:themeColor="text1"/>
          <w:sz w:val="32"/>
          <w:szCs w:val="32"/>
        </w:rPr>
        <w:t>*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权重系数）</w:t>
      </w:r>
    </w:p>
    <w:tbl>
      <w:tblPr>
        <w:tblStyle w:val="a4"/>
        <w:tblW w:w="9024" w:type="dxa"/>
        <w:tblLayout w:type="fixed"/>
        <w:tblLook w:val="04A0" w:firstRow="1" w:lastRow="0" w:firstColumn="1" w:lastColumn="0" w:noHBand="0" w:noVBand="1"/>
      </w:tblPr>
      <w:tblGrid>
        <w:gridCol w:w="1524"/>
        <w:gridCol w:w="2445"/>
        <w:gridCol w:w="2475"/>
        <w:gridCol w:w="2580"/>
      </w:tblGrid>
      <w:tr w:rsidR="009D6D46" w:rsidTr="00AC45F9">
        <w:trPr>
          <w:trHeight w:val="723"/>
        </w:trPr>
        <w:tc>
          <w:tcPr>
            <w:tcW w:w="1524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满意率</w:t>
            </w:r>
          </w:p>
        </w:tc>
        <w:tc>
          <w:tcPr>
            <w:tcW w:w="244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60%以下（含）</w:t>
            </w:r>
          </w:p>
        </w:tc>
        <w:tc>
          <w:tcPr>
            <w:tcW w:w="247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60%（不含）—90%（不含）</w:t>
            </w:r>
          </w:p>
        </w:tc>
        <w:tc>
          <w:tcPr>
            <w:tcW w:w="2580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90%以上（含）</w:t>
            </w:r>
          </w:p>
        </w:tc>
      </w:tr>
      <w:tr w:rsidR="009D6D46" w:rsidTr="00AC45F9">
        <w:trPr>
          <w:trHeight w:val="723"/>
        </w:trPr>
        <w:tc>
          <w:tcPr>
            <w:tcW w:w="1524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权重因素</w:t>
            </w:r>
          </w:p>
        </w:tc>
        <w:tc>
          <w:tcPr>
            <w:tcW w:w="244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1.2</w:t>
            </w:r>
          </w:p>
        </w:tc>
        <w:tc>
          <w:tcPr>
            <w:tcW w:w="2475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1.0</w:t>
            </w:r>
          </w:p>
        </w:tc>
        <w:tc>
          <w:tcPr>
            <w:tcW w:w="2580" w:type="dxa"/>
            <w:vAlign w:val="center"/>
          </w:tcPr>
          <w:p w:rsidR="009D6D46" w:rsidRDefault="009D6D46" w:rsidP="00AC45F9">
            <w:pPr>
              <w:pStyle w:val="a3"/>
              <w:spacing w:line="5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2"/>
                <w:sz w:val="21"/>
                <w:szCs w:val="24"/>
              </w:rPr>
              <w:t>0.8</w:t>
            </w:r>
          </w:p>
        </w:tc>
      </w:tr>
    </w:tbl>
    <w:p w:rsidR="009D6D46" w:rsidRDefault="009D6D46" w:rsidP="009D6D4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依据四项风险因素单独评分，综合相加形成住宅项目物业服务风险等级，由低至高分为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A（低风险）、B（一般风险）、C（较大风险）、D（重大风险）。</w:t>
      </w:r>
    </w:p>
    <w:tbl>
      <w:tblPr>
        <w:tblStyle w:val="a4"/>
        <w:tblW w:w="8765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460"/>
        <w:gridCol w:w="1726"/>
        <w:gridCol w:w="1785"/>
        <w:gridCol w:w="1950"/>
        <w:gridCol w:w="1844"/>
      </w:tblGrid>
      <w:tr w:rsidR="009D6D46" w:rsidTr="00AC45F9">
        <w:trPr>
          <w:trHeight w:val="379"/>
        </w:trPr>
        <w:tc>
          <w:tcPr>
            <w:tcW w:w="8765" w:type="dxa"/>
            <w:gridSpan w:val="5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风险等级评估表</w:t>
            </w:r>
          </w:p>
        </w:tc>
      </w:tr>
      <w:tr w:rsidR="009D6D46" w:rsidTr="00AC45F9">
        <w:trPr>
          <w:trHeight w:val="474"/>
        </w:trPr>
        <w:tc>
          <w:tcPr>
            <w:tcW w:w="1460" w:type="dxa"/>
            <w:vAlign w:val="center"/>
          </w:tcPr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风险类别</w:t>
            </w:r>
          </w:p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低至高</w:t>
            </w:r>
          </w:p>
        </w:tc>
        <w:tc>
          <w:tcPr>
            <w:tcW w:w="1726" w:type="dxa"/>
            <w:vAlign w:val="center"/>
          </w:tcPr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投入使用时间</w:t>
            </w:r>
          </w:p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785" w:type="dxa"/>
            <w:vAlign w:val="center"/>
          </w:tcPr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规模</w:t>
            </w:r>
          </w:p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950" w:type="dxa"/>
            <w:vAlign w:val="center"/>
          </w:tcPr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收费率</w:t>
            </w:r>
          </w:p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）</w:t>
            </w:r>
          </w:p>
        </w:tc>
        <w:tc>
          <w:tcPr>
            <w:tcW w:w="1844" w:type="dxa"/>
            <w:vAlign w:val="center"/>
          </w:tcPr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满意率</w:t>
            </w:r>
          </w:p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）</w:t>
            </w:r>
          </w:p>
        </w:tc>
      </w:tr>
      <w:tr w:rsidR="009D6D46" w:rsidTr="00AC45F9">
        <w:trPr>
          <w:trHeight w:val="670"/>
        </w:trPr>
        <w:tc>
          <w:tcPr>
            <w:tcW w:w="1460" w:type="dxa"/>
            <w:vAlign w:val="center"/>
          </w:tcPr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95以下</w:t>
            </w:r>
          </w:p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（不含）</w:t>
            </w:r>
          </w:p>
        </w:tc>
        <w:tc>
          <w:tcPr>
            <w:tcW w:w="1726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  <w:tc>
          <w:tcPr>
            <w:tcW w:w="1785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  <w:tc>
          <w:tcPr>
            <w:tcW w:w="1950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  <w:tc>
          <w:tcPr>
            <w:tcW w:w="1844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</w:tr>
      <w:tr w:rsidR="009D6D46" w:rsidTr="00AC45F9">
        <w:trPr>
          <w:trHeight w:val="817"/>
        </w:trPr>
        <w:tc>
          <w:tcPr>
            <w:tcW w:w="1460" w:type="dxa"/>
            <w:vAlign w:val="center"/>
          </w:tcPr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95（含）—105（不含）</w:t>
            </w:r>
          </w:p>
        </w:tc>
        <w:tc>
          <w:tcPr>
            <w:tcW w:w="1726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  <w:tc>
          <w:tcPr>
            <w:tcW w:w="1785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  <w:tc>
          <w:tcPr>
            <w:tcW w:w="1950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  <w:tc>
          <w:tcPr>
            <w:tcW w:w="1844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</w:tr>
      <w:tr w:rsidR="009D6D46" w:rsidTr="00AC45F9">
        <w:trPr>
          <w:trHeight w:val="817"/>
        </w:trPr>
        <w:tc>
          <w:tcPr>
            <w:tcW w:w="1460" w:type="dxa"/>
            <w:vAlign w:val="center"/>
          </w:tcPr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</w:t>
            </w:r>
          </w:p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105（含）—115（不含）</w:t>
            </w:r>
          </w:p>
        </w:tc>
        <w:tc>
          <w:tcPr>
            <w:tcW w:w="1726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  <w:tc>
          <w:tcPr>
            <w:tcW w:w="1785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  <w:tc>
          <w:tcPr>
            <w:tcW w:w="1950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  <w:tc>
          <w:tcPr>
            <w:tcW w:w="1844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</w:tr>
      <w:tr w:rsidR="009D6D46" w:rsidTr="00AC45F9">
        <w:trPr>
          <w:trHeight w:val="738"/>
        </w:trPr>
        <w:tc>
          <w:tcPr>
            <w:tcW w:w="1460" w:type="dxa"/>
            <w:vAlign w:val="center"/>
          </w:tcPr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</w:t>
            </w:r>
          </w:p>
          <w:p w:rsidR="009D6D46" w:rsidRDefault="009D6D46" w:rsidP="00AC45F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115以上（含）</w:t>
            </w:r>
          </w:p>
        </w:tc>
        <w:tc>
          <w:tcPr>
            <w:tcW w:w="1726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  <w:tc>
          <w:tcPr>
            <w:tcW w:w="1785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  <w:tc>
          <w:tcPr>
            <w:tcW w:w="1950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  <w:tc>
          <w:tcPr>
            <w:tcW w:w="1844" w:type="dxa"/>
            <w:vAlign w:val="center"/>
          </w:tcPr>
          <w:p w:rsidR="009D6D46" w:rsidRDefault="009D6D46" w:rsidP="00AC45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pacing w:val="8"/>
                <w:sz w:val="32"/>
                <w:szCs w:val="32"/>
                <w:highlight w:val="yellow"/>
                <w:lang w:val="zh-CN"/>
              </w:rPr>
            </w:pPr>
          </w:p>
        </w:tc>
      </w:tr>
    </w:tbl>
    <w:p w:rsidR="009D6D46" w:rsidRDefault="009D6D46" w:rsidP="009D6D4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风险等级评估实行动态管理，以半年为一个周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期。</w:t>
      </w:r>
    </w:p>
    <w:p w:rsidR="009D6D46" w:rsidRDefault="009D6D46" w:rsidP="009D6D46">
      <w:pPr>
        <w:pStyle w:val="a3"/>
        <w:spacing w:line="560" w:lineRule="exact"/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9D6D46" w:rsidRDefault="009D6D46" w:rsidP="009D6D4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725706" w:rsidRPr="009D6D46" w:rsidRDefault="00725706">
      <w:bookmarkStart w:id="0" w:name="_GoBack"/>
      <w:bookmarkEnd w:id="0"/>
    </w:p>
    <w:sectPr w:rsidR="00725706" w:rsidRPr="009D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46"/>
    <w:rsid w:val="00725706"/>
    <w:rsid w:val="009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D6D46"/>
    <w:rPr>
      <w:rFonts w:ascii="宋体" w:hAnsi="Courier New"/>
    </w:rPr>
  </w:style>
  <w:style w:type="character" w:customStyle="1" w:styleId="Char">
    <w:name w:val="纯文本 Char"/>
    <w:basedOn w:val="a0"/>
    <w:link w:val="a3"/>
    <w:rsid w:val="009D6D46"/>
    <w:rPr>
      <w:rFonts w:ascii="宋体" w:hAnsi="Courier New"/>
    </w:rPr>
  </w:style>
  <w:style w:type="table" w:styleId="a4">
    <w:name w:val="Table Grid"/>
    <w:basedOn w:val="a1"/>
    <w:uiPriority w:val="39"/>
    <w:qFormat/>
    <w:rsid w:val="009D6D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D6D46"/>
    <w:rPr>
      <w:rFonts w:ascii="宋体" w:hAnsi="Courier New"/>
    </w:rPr>
  </w:style>
  <w:style w:type="character" w:customStyle="1" w:styleId="Char">
    <w:name w:val="纯文本 Char"/>
    <w:basedOn w:val="a0"/>
    <w:link w:val="a3"/>
    <w:rsid w:val="009D6D46"/>
    <w:rPr>
      <w:rFonts w:ascii="宋体" w:hAnsi="Courier New"/>
    </w:rPr>
  </w:style>
  <w:style w:type="table" w:styleId="a4">
    <w:name w:val="Table Grid"/>
    <w:basedOn w:val="a1"/>
    <w:uiPriority w:val="39"/>
    <w:qFormat/>
    <w:rsid w:val="009D6D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702</Characters>
  <Application>Microsoft Office Word</Application>
  <DocSecurity>0</DocSecurity>
  <Lines>5</Lines>
  <Paragraphs>1</Paragraphs>
  <ScaleCrop>false</ScaleCrop>
  <Company>Lenovo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2022-03-21T06:29:00Z</dcterms:created>
  <dcterms:modified xsi:type="dcterms:W3CDTF">2022-03-21T06:29:00Z</dcterms:modified>
</cp:coreProperties>
</file>